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087" w:rsidRPr="004D6087" w:rsidRDefault="004D6087" w:rsidP="004D6087">
      <w:pPr>
        <w:pBdr>
          <w:bottom w:val="dotted" w:sz="8" w:space="5" w:color="999999"/>
        </w:pBdr>
        <w:shd w:val="clear" w:color="auto" w:fill="FFFFFF"/>
        <w:spacing w:after="0" w:line="240" w:lineRule="auto"/>
        <w:textAlignment w:val="top"/>
        <w:outlineLvl w:val="2"/>
        <w:rPr>
          <w:rFonts w:ascii="PT Sans" w:eastAsia="Times New Roman" w:hAnsi="PT Sans" w:cs="Arial"/>
          <w:b/>
          <w:bCs/>
          <w:smallCaps/>
          <w:color w:val="000000"/>
          <w:sz w:val="40"/>
          <w:szCs w:val="40"/>
        </w:rPr>
      </w:pPr>
      <w:r w:rsidRPr="004D6087">
        <w:rPr>
          <w:rFonts w:ascii="PT Sans" w:eastAsia="Times New Roman" w:hAnsi="PT Sans" w:cs="Arial"/>
          <w:b/>
          <w:bCs/>
          <w:smallCaps/>
          <w:color w:val="000000"/>
          <w:sz w:val="40"/>
          <w:szCs w:val="40"/>
        </w:rPr>
        <w:t>Формирование и структура платежного баланса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Платежный баланс является элементом системы балансов международных расчетов.</w:t>
      </w:r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Балансы международных расчетов -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 xml:space="preserve"> это соотношение денежных требований и обязательств, поступлений и платежей одной страны по отношению к другим странам. Основные виды таких балансов — расчетный, международной задолженности, платежный.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t>Расчетный баланс -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 xml:space="preserve"> это соотношение требований и обязательств данной страны (на какую-либо дату или за период) по отношению к другим странам независимо от сроков наступления платежей. Расчетный баланс отражает позицию страны по международным инвестициям на определенную дату. Международная инвестиционная позиция характеризует объем и структуру иностранных активов резидентов, т.е. требований резидентов к нерезидентам, а также объем и структуру иностранных обязательств резидентов. На основе сопоставления активов и обязательств можно получить чистую инвестиционную позицию страны, которая эквивалентна доле национального богатства, предоставленного или взятого взаймы у внешнего мира (нерезидентов). Расчетный баланс за определенный период показывает лишь динамику требований и обязательств одной страны по отношению к другим странам, но не позволяет выявить валютно-финансовос положение страны в целом. Баланс на определенную дату характеризует международную расчетную позицию страны. Активное сальдо характеризует ситуацию, при которой страна предоставляла больше кредитов и осуществляла инвестиций, чем привлекала их. Пассивное сальдо характеризует позицию страны как нетто-должника и показывает размер ее будущих платежей иностранным государствам.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t>Баланс международной задолженности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 xml:space="preserve"> применяется в практике финансовой статистики зарубежных стран и близок по характеру отражаемой информации к расчетному балансу.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hyperlink r:id="rId5" w:tooltip="Платежный баланс" w:history="1">
        <w:r w:rsidRPr="004D6087">
          <w:rPr>
            <w:rFonts w:ascii="Times New Roman" w:eastAsia="Times New Roman" w:hAnsi="Times New Roman" w:cs="Times New Roman"/>
            <w:b/>
            <w:bCs/>
            <w:color w:val="002BB8"/>
            <w:sz w:val="24"/>
            <w:szCs w:val="24"/>
          </w:rPr>
          <w:t>Платежный баланс</w:t>
        </w:r>
      </w:hyperlink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 xml:space="preserve"> это соотношение фактических платежей, произведенных данной страной другим государствам, и поступлений, полученных ею от других стран за определенный период времени. Различается платежный баланс и на определенную дату. Он существует в виде каждодневного меняющегося соотношения платежей и поступлений и влияет на курс национальной валюты. Сальдо платежного баланса активно, если валютные поступления превышают платежи, и пассивно, если платежи превышают поступления. Основу составления платежных балансов большинства стран составляют рекомендации МВФ, что придаст показателям универсальный характер и даст возможность проводить их сопоставление.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Основополагающим для составления платежного баланса является</w:t>
      </w:r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метод двойной записи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 xml:space="preserve"> международных сделок, в котором каждая операция отражается дважды — по кредиту одной статьи и по дебету другой. Это правило имеет простую экономическую интерпретацию: большинство записей в платежном балансе касается операций, связанных с обменом экономическими ценностями. Сумма всех кредитовых проводок должна 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lastRenderedPageBreak/>
        <w:t>совпадать с суммой дебетовых. На практике такое состояние недостижимо из-за сложности полного охвата всех сделок, неоднородности цен, разницы во времени регистрации сделок и других причин. Этим обусловлено введение в платежный баланс специальной статьи «Ошибки и пропуски». Как правило, сумма по этой статье невелика и стабильна, однако она резко возрастает и может достичь внушительной величины в странах со слабым контролем отчетов участников внешнеэкономической деятельности для статистики платежного баланса. В этом случае величина пропусков и ошибок дает представление о незарегистрированном оттоке (или притоке) капиталов.</w:t>
      </w:r>
    </w:p>
    <w:p w:rsidR="004D6087" w:rsidRPr="004D6087" w:rsidRDefault="004D6087" w:rsidP="004D6087">
      <w:pPr>
        <w:shd w:val="clear" w:color="auto" w:fill="FFFFFF"/>
        <w:spacing w:after="0" w:line="240" w:lineRule="auto"/>
        <w:textAlignment w:val="top"/>
        <w:outlineLvl w:val="4"/>
        <w:rPr>
          <w:rFonts w:ascii="Arial" w:eastAsia="Times New Roman" w:hAnsi="Arial" w:cs="Arial"/>
          <w:b/>
          <w:bCs/>
          <w:color w:val="006666"/>
          <w:sz w:val="28"/>
          <w:szCs w:val="28"/>
        </w:rPr>
      </w:pPr>
      <w:r w:rsidRPr="004D6087">
        <w:rPr>
          <w:rFonts w:ascii="Arial" w:eastAsia="Times New Roman" w:hAnsi="Arial" w:cs="Arial"/>
          <w:b/>
          <w:bCs/>
          <w:color w:val="006666"/>
          <w:sz w:val="28"/>
          <w:szCs w:val="28"/>
        </w:rPr>
        <w:t>Структура платежного баланса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В соответствии с классификацией статей, используемой Международным валютным фондом, платежный баланс состоит из двух больших разделов: баланса текущих операций и баланса операций с капиталом и финансовыми инструментами.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t>Текущие операции -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 xml:space="preserve"> это операции с товарами, услугами и доходами. Сальдо по операциям с товарами и услугами — одна из составляющих валового внутреннего продукта, рассчитываемого методом использования. Капитальные операции связаны с инвестиционной деятельностью и представляют собой операции с активами и обязательствами.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В соответствии с принципами построения платежный баланс всегда сбалансирован. Понятие отрицательного или положительного сальдо применимо только к отдельным его частям. При этом необходимо отметить, что само по себе сальдо баланса не может иметь однозначной трактовки с точки зрения его воздействия на национальную экономику. В зависимости от целей экономической политики как отрицательное, так и положительное сальдо по отдельным статьям может расцениваться и в позитивном, и в негативном плане.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t>Баланс текущих операции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 xml:space="preserve"> состоит из торгового баланса, баланса услуг, доходов от иностранных инвестиций и платежей по ним, оплаты труда и текущих трансфертов.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t>Торговый баланс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 xml:space="preserve"> формируется как соотношение между экспортом и импортом товаров без учета услуг. Изменение торгового баланса зависит от того, какие факторы его обусловили. Например, если отрицательное сальдо образовалось в результате сокращения экспорта, то это может свидетельствовать о снижении конкурентоспособности товаров данной страны на мировом рынке и рассматриваться как негативное явление. Но если такое положение стало результатом роста импорта в результате притока прямых инвестиций в страну, то это никак не может рассматриваться как ослабление национальной экономики.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В целом состояние торгового баланса зависит от экономического положения страны и в свою очередь оказывает на него значительное воздействие, в частности на курс национальной валюты. Так, при превышении экспорта н&amp;ц импортом спрос на отечественную валюту возрастает, а при обратном соотношении падает, что соответствующим образом влияет на валютный курс.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lastRenderedPageBreak/>
        <w:t>Статьи торгового баланса поддаются наиболее точному учету, поскольку основываются на данных таможенной статистики. Экспорт и импорт товаров отражаются в момент перехода права собственности от нерезидентов к резидентам (или наоборот) по рыночным ценам. Обычно для оценки операций используются контрактные цены или цены, которые фактически имели место при осуществлении операций. В платежном балансе экспорт и импорт товаров оценивается одинаково — по ценам ФОБ. Экспорт ведет к поступлению в страну иностранной валюты и записывается на кредит торгового счета, а импорт — к оттоку валюты из страны и, соответственно, отражается по дебе ту торгового счета.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t>Баланс услуг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 xml:space="preserve"> включает платежи и поступления от услуг, предоставленных резидентами нерезидентам, и наоборот. Баланс услуг представляет собой сальдо гак называемых нефакторных услуг, т.е. не связанных с доходами от факторов производства. В этом иод- разделе (субсчете) платежного баланса отражаются услуги, предоставленные резидентами нерезидентам и оказанные нерезидентами резидентам. По методологии платежного баланса учет услуг осуществляется на валовой основе в полном объеме, включая НДС. В первичной банковской статистике все услуги кодируются в соответствии с разработанным классификатором и перечнем работ, услуг и результатов интеллектуальной деятельности.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Нефакторные услуги разделены на следующие виды:</w:t>
      </w:r>
    </w:p>
    <w:p w:rsidR="004D6087" w:rsidRPr="004D6087" w:rsidRDefault="004D6087" w:rsidP="004D6087">
      <w:pPr>
        <w:numPr>
          <w:ilvl w:val="0"/>
          <w:numId w:val="1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транспортные услуги, включая фрахт и страхование перевозок;</w:t>
      </w:r>
    </w:p>
    <w:p w:rsidR="004D6087" w:rsidRPr="004D6087" w:rsidRDefault="004D6087" w:rsidP="004D6087">
      <w:pPr>
        <w:numPr>
          <w:ilvl w:val="0"/>
          <w:numId w:val="1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туризм, включая все расходы резидентов страны во время пребывания в других странах;</w:t>
      </w:r>
    </w:p>
    <w:p w:rsidR="004D6087" w:rsidRPr="004D6087" w:rsidRDefault="004D6087" w:rsidP="004D6087">
      <w:pPr>
        <w:numPr>
          <w:ilvl w:val="0"/>
          <w:numId w:val="1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услуги в сфере бизнеса: услуги проектных организаций, консультантов, платежи за участие в международных конгрессах, симпозиумах, конференциях и других международных встречах, платежи за участие в международных выставках и ярмарках;</w:t>
      </w:r>
    </w:p>
    <w:p w:rsidR="004D6087" w:rsidRPr="004D6087" w:rsidRDefault="004D6087" w:rsidP="004D6087">
      <w:pPr>
        <w:numPr>
          <w:ilvl w:val="0"/>
          <w:numId w:val="1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роялти и лицензионные вознаграждения: выплаты за использование в другой стране лицензий, прав на тиражирование печатной, аудио- или видеопродукции;</w:t>
      </w:r>
    </w:p>
    <w:p w:rsidR="004D6087" w:rsidRPr="004D6087" w:rsidRDefault="004D6087" w:rsidP="004D6087">
      <w:pPr>
        <w:numPr>
          <w:ilvl w:val="0"/>
          <w:numId w:val="1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услуги связи и информационные услуги;</w:t>
      </w:r>
    </w:p>
    <w:p w:rsidR="004D6087" w:rsidRPr="004D6087" w:rsidRDefault="004D6087" w:rsidP="004D6087">
      <w:pPr>
        <w:numPr>
          <w:ilvl w:val="0"/>
          <w:numId w:val="1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строительные услуги;</w:t>
      </w:r>
    </w:p>
    <w:p w:rsidR="004D6087" w:rsidRPr="004D6087" w:rsidRDefault="004D6087" w:rsidP="004D6087">
      <w:pPr>
        <w:numPr>
          <w:ilvl w:val="0"/>
          <w:numId w:val="1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страховые, финансовые услуги;</w:t>
      </w:r>
    </w:p>
    <w:p w:rsidR="004D6087" w:rsidRPr="004D6087" w:rsidRDefault="004D6087" w:rsidP="004D6087">
      <w:pPr>
        <w:numPr>
          <w:ilvl w:val="0"/>
          <w:numId w:val="1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развлечения, культурные мероприятия и отдых;</w:t>
      </w:r>
    </w:p>
    <w:p w:rsidR="004D6087" w:rsidRPr="004D6087" w:rsidRDefault="004D6087" w:rsidP="004D6087">
      <w:pPr>
        <w:numPr>
          <w:ilvl w:val="0"/>
          <w:numId w:val="1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услуги государственных учреждений.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Баланс «Доходы от инвестиции и оплата труда»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 xml:space="preserve"> отражае т доходы от предоставления резидентами факторов производства (груда и капитала) нерезидентам или наоборот. Он состоит из двух статей — оплата труда (полученная / выплаченная), доходы от инвестиций (к получению / к выплате).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Статья «Оплата труда» отражает вознаграждения работникам, полученные от резидентов другой экономики, при этом отражаются только поступления от работников, занятых за рубежом не более 183 дней в году, т.е. законодательно считающихся резидентами. За пределами этого срока их переводы на счет «Текущие трансферты» в России должны отражаться как переводы иностранцев. В статье «Доходы от инвестиций» отражаются доходы от собственности на иностранные финансовые активы, которые нерезиденты выплачивают резидентам или наоборот (проценты, дивиденды и другие аналогичные формы дохода).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t>Текущие трансферты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 xml:space="preserve"> отражают переводы в страну и из страны неторгового характера (денежные переводы, пенсии, взносы в международные организации, гуманитарная помощь в виде потребительских товаров и услуг, дары и правительственные субсидии).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Перечисленные услуги, движение доходов, текущие трансферты называют «невидимыми» операциями. Сальдо по «невидимым» операциям, которое в среднем составляет 1/3 текущих операций платежного баланса, влияет на его конечный результат.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Баланс операций с капиталом и финансовыми инструментами 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>включает два основных раздела: счет операций с капиталом и финансовый счет. Основные составные части счета капитала — трансферты капитала и приобретение/реализация нефинансовых активов. Примеры капитальных трансфертов — безвозмездная передача прав собственности на основные фонды, прошение долгов и др.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В финансовом счете отражаются операции с активами и обязательствами резидентов по отношению к нерезидентам, которые произошли в отчетном периоде.</w:t>
      </w:r>
      <w:r w:rsidRPr="004D608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Активом</w:t>
      </w:r>
      <w:r w:rsidRPr="004D6087">
        <w:rPr>
          <w:rFonts w:ascii="Times New Roman" w:eastAsia="Times New Roman" w:hAnsi="Times New Roman" w:cs="Times New Roman"/>
          <w:sz w:val="24"/>
          <w:szCs w:val="24"/>
        </w:rPr>
        <w:t xml:space="preserve"> называется любая форма вложения временно свободных средств, позволяющая их сохранить в течение определенного отрезка времени, на который откладывается спрос. В финансовом счете различают следующие функциональные группы активов и обязательств: прямые инвестиции, портфельные инвестиции, финансовые производные и прочие инвестиции. Прямые инвестиции предполагают операции с нерезидентами по инвестированию в компании или в виде вложений в акционерный капитал, реинвестирование прибыли дочерних компаний и т.п.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Портфельные инвестиции включают операции с нерезидентами по инвестициям в ценные бумаги в форме корпоративных акций или облигаций, производных финансовых инструментов (фьючерсы, опционы и т.п.).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Для разграничения прямых и портфельных инвестиций используется следующий критерий: если инвестор владеет 10% и более обыкновенных акций, то считается, что вложенные средства носят характер прямых инвестиций.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lastRenderedPageBreak/>
        <w:t>Финансовые производные включают активы и обязательства по таким финансовым инструментам, как фьючерсы, опционы, свопы. Выделение самостоятельного подраздела финансового счета в платежном балансе обусловлено активным развитием международного рынка деривативов как способа эффективного привлечения ссудного капитала, обеспечивающего снижение уровня валютного и процентного рисков, сокращение затрат по обслуживанию долга. Прочие инвестиции отражают другие капитальные операции с нерезидентами: торговые и финансовые кредиты, депозиты, ссуды и займы и т.п.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Заключительные статьи платежного баланса отражают операции с ликвидными валютными активами. В подразделе «Резервы» приводятся данные о монетарном золоте, резервной позиции страны в Международном валютном фонде, иностранной валюте, прочих требованиях.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Нейтральное представление построения платежного баланса отражает схема, приведенная на рис. 1.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64100" cy="3238500"/>
            <wp:effectExtent l="19050" t="0" r="0" b="0"/>
            <wp:docPr id="1" name="Рисунок 1" descr="http://www.grandars.ru/images/1/review/id/3133/5c865d9c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randars.ru/images/1/review/id/3133/5c865d9c1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10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Рис. 1. Структура платежного баланса (нейтральное представление)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Цель аналитического представления платежного баланса — выявление операций, отражающих специфику платежного баланса страны, которая не может быть выявлена на основе баланса, составленного в нейтральном представлении. Финансовый счет баланса в аналитическом представлении позволяет проанализировать:</w:t>
      </w:r>
    </w:p>
    <w:p w:rsidR="004D6087" w:rsidRPr="004D6087" w:rsidRDefault="004D6087" w:rsidP="004D6087">
      <w:pPr>
        <w:numPr>
          <w:ilvl w:val="0"/>
          <w:numId w:val="2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общий объем привлеченных от нерезидентов финансовых ресурсов или приток иностранных инвестиций в экономику;</w:t>
      </w:r>
    </w:p>
    <w:p w:rsidR="004D6087" w:rsidRPr="004D6087" w:rsidRDefault="004D6087" w:rsidP="004D6087">
      <w:pPr>
        <w:numPr>
          <w:ilvl w:val="0"/>
          <w:numId w:val="2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lastRenderedPageBreak/>
        <w:t>чистый прирост всех иностранных активов резидентов РФ или чистый отток капитала за границу;</w:t>
      </w:r>
    </w:p>
    <w:p w:rsidR="004D6087" w:rsidRPr="004D6087" w:rsidRDefault="004D6087" w:rsidP="004D6087">
      <w:pPr>
        <w:numPr>
          <w:ilvl w:val="0"/>
          <w:numId w:val="2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структуру активов и обязательств по секторам экономики. В платежном балансе выделяют следующие секторы: «Федеральные органы управления», «Субъекты Российской Федерации», «Органы денежно-кредитного регулирования», «Банки», «Нефинансовые предприятия и домашние хозяйства»;</w:t>
      </w:r>
    </w:p>
    <w:p w:rsidR="004D6087" w:rsidRPr="004D6087" w:rsidRDefault="004D6087" w:rsidP="004D6087">
      <w:pPr>
        <w:numPr>
          <w:ilvl w:val="0"/>
          <w:numId w:val="2"/>
        </w:numPr>
        <w:shd w:val="clear" w:color="auto" w:fill="FFFFFF"/>
        <w:spacing w:before="100" w:beforeAutospacing="1" w:after="40" w:line="340" w:lineRule="atLeast"/>
        <w:ind w:left="4940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влияние различных секторов экономики на состояние платежного баланса.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Аналитическое представление платежного баланса отражает схема, приведенная на рис. 2.</w:t>
      </w:r>
    </w:p>
    <w:p w:rsidR="004D6087" w:rsidRPr="004D6087" w:rsidRDefault="004D6087" w:rsidP="004D6087">
      <w:pPr>
        <w:shd w:val="clear" w:color="auto" w:fill="FFFFFF"/>
        <w:spacing w:before="160" w:after="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64100" cy="3962400"/>
            <wp:effectExtent l="19050" t="0" r="0" b="0"/>
            <wp:docPr id="2" name="Рисунок 2" descr="http://www.grandars.ru/images/1/review/id/3133/369b6474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grandars.ru/images/1/review/id/3133/369b64748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1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087" w:rsidRPr="004D6087" w:rsidRDefault="004D6087" w:rsidP="004D6087">
      <w:pPr>
        <w:shd w:val="clear" w:color="auto" w:fill="FFFFFF"/>
        <w:spacing w:before="160" w:line="340" w:lineRule="atLeast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4D6087">
        <w:rPr>
          <w:rFonts w:ascii="Times New Roman" w:eastAsia="Times New Roman" w:hAnsi="Times New Roman" w:cs="Times New Roman"/>
          <w:sz w:val="24"/>
          <w:szCs w:val="24"/>
        </w:rPr>
        <w:t>Рис. 2. Структура платежного баланса (аналитическое представление)</w:t>
      </w:r>
    </w:p>
    <w:p w:rsidR="00BC6412" w:rsidRDefault="00BC6412"/>
    <w:sectPr w:rsidR="00BC6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3.55pt;height:9.8pt" o:bullet="t">
        <v:imagedata r:id="rId1" o:title="bullet"/>
      </v:shape>
    </w:pict>
  </w:numPicBullet>
  <w:numPicBullet w:numPicBulletId="1">
    <w:pict>
      <v:shape id="_x0000_i1034" type="#_x0000_t75" style="width:3in;height:3in" o:bullet="t"/>
    </w:pict>
  </w:numPicBullet>
  <w:abstractNum w:abstractNumId="0">
    <w:nsid w:val="04F13C6F"/>
    <w:multiLevelType w:val="multilevel"/>
    <w:tmpl w:val="467422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PicBulletId w:val="0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4279E1"/>
    <w:multiLevelType w:val="multilevel"/>
    <w:tmpl w:val="F5DECE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PicBulletId w:val="1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>
    <w:useFELayout/>
  </w:compat>
  <w:rsids>
    <w:rsidRoot w:val="004D6087"/>
    <w:rsid w:val="004D6087"/>
    <w:rsid w:val="00BC6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D6087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D6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60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3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393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4803">
              <w:marLeft w:val="4240"/>
              <w:marRight w:val="4100"/>
              <w:marTop w:val="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95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8" w:space="0" w:color="D2D2D2"/>
                    <w:right w:val="single" w:sz="8" w:space="0" w:color="D2D2D2"/>
                  </w:divBdr>
                  <w:divsChild>
                    <w:div w:id="876434395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hyperlink" Target="http://www.grandars.ru/student/mirovaya-ekonomika/platezhnyy-balans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1864</Words>
  <Characters>10631</Characters>
  <Application>Microsoft Office Word</Application>
  <DocSecurity>0</DocSecurity>
  <Lines>88</Lines>
  <Paragraphs>24</Paragraphs>
  <ScaleCrop>false</ScaleCrop>
  <Company>MultiDVD Team</Company>
  <LinksUpToDate>false</LinksUpToDate>
  <CharactersWithSpaces>12471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2018-09-09T14:24:00Z</dcterms:created>
  <dcterms:modified xsi:type="dcterms:W3CDTF">2018-09-09T14:25:00Z</dcterms:modified>
</cp:coreProperties>
</file>